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right"/>
        <w:rPr>
          <w:rFonts w:ascii="仿宋_GB2312" w:hAnsi="宋体" w:eastAsia="仿宋_GB2312"/>
          <w:sz w:val="32"/>
          <w:szCs w:val="32"/>
        </w:rPr>
      </w:pPr>
      <w:r>
        <w:rPr>
          <w:rFonts w:hint="eastAsia" w:ascii="仿宋_GB2312" w:hAnsi="宋体" w:eastAsia="仿宋_GB2312"/>
          <w:b/>
          <w:sz w:val="32"/>
          <w:szCs w:val="32"/>
        </w:rPr>
        <w:t xml:space="preserve">    合同编号：（       ）</w:t>
      </w:r>
    </w:p>
    <w:p>
      <w:pPr>
        <w:spacing w:line="360" w:lineRule="auto"/>
        <w:jc w:val="center"/>
        <w:rPr>
          <w:rFonts w:ascii="仿宋_GB2312" w:hAnsi="宋体" w:eastAsia="仿宋_GB2312"/>
          <w:sz w:val="36"/>
          <w:szCs w:val="36"/>
        </w:rPr>
      </w:pPr>
    </w:p>
    <w:p>
      <w:pPr>
        <w:spacing w:line="360" w:lineRule="auto"/>
        <w:jc w:val="center"/>
        <w:rPr>
          <w:rFonts w:ascii="仿宋_GB2312" w:hAnsi="宋体" w:eastAsia="仿宋_GB2312"/>
          <w:sz w:val="36"/>
          <w:szCs w:val="36"/>
        </w:rPr>
      </w:pPr>
    </w:p>
    <w:p>
      <w:pPr>
        <w:spacing w:line="360" w:lineRule="auto"/>
        <w:jc w:val="center"/>
        <w:rPr>
          <w:rFonts w:ascii="仿宋_GB2312" w:hAnsi="宋体" w:eastAsia="仿宋_GB2312"/>
          <w:sz w:val="36"/>
          <w:szCs w:val="36"/>
        </w:rPr>
      </w:pPr>
    </w:p>
    <w:p>
      <w:pPr>
        <w:spacing w:line="360" w:lineRule="auto"/>
        <w:jc w:val="center"/>
        <w:rPr>
          <w:rFonts w:ascii="仿宋_GB2312" w:hAnsi="宋体" w:eastAsia="仿宋_GB2312"/>
          <w:b/>
          <w:sz w:val="52"/>
          <w:szCs w:val="52"/>
        </w:rPr>
      </w:pPr>
      <w:r>
        <w:rPr>
          <w:rFonts w:hint="eastAsia" w:ascii="仿宋_GB2312" w:hAnsi="宋体" w:eastAsia="仿宋_GB2312"/>
          <w:b/>
          <w:sz w:val="52"/>
          <w:szCs w:val="52"/>
        </w:rPr>
        <w:t>房屋租赁合同</w:t>
      </w:r>
    </w:p>
    <w:p>
      <w:pPr>
        <w:spacing w:line="360" w:lineRule="auto"/>
        <w:jc w:val="center"/>
        <w:rPr>
          <w:rFonts w:ascii="仿宋_GB2312" w:hAnsi="宋体" w:eastAsia="仿宋_GB2312"/>
          <w:sz w:val="36"/>
          <w:szCs w:val="36"/>
        </w:rPr>
      </w:pPr>
    </w:p>
    <w:p>
      <w:pPr>
        <w:spacing w:line="360" w:lineRule="auto"/>
        <w:jc w:val="center"/>
        <w:rPr>
          <w:rFonts w:ascii="仿宋_GB2312" w:hAnsi="宋体" w:eastAsia="仿宋_GB2312"/>
          <w:sz w:val="36"/>
          <w:szCs w:val="36"/>
        </w:rPr>
      </w:pPr>
    </w:p>
    <w:p>
      <w:pPr>
        <w:spacing w:line="360" w:lineRule="auto"/>
        <w:jc w:val="center"/>
        <w:rPr>
          <w:rFonts w:ascii="仿宋_GB2312" w:hAnsi="宋体" w:eastAsia="仿宋_GB2312"/>
          <w:sz w:val="36"/>
          <w:szCs w:val="36"/>
        </w:rPr>
      </w:pPr>
    </w:p>
    <w:p>
      <w:pPr>
        <w:spacing w:line="360" w:lineRule="auto"/>
        <w:ind w:firstLine="1265" w:firstLineChars="350"/>
        <w:rPr>
          <w:rFonts w:ascii="仿宋_GB2312" w:hAnsi="宋体" w:eastAsia="仿宋_GB2312"/>
          <w:b/>
          <w:sz w:val="36"/>
          <w:szCs w:val="36"/>
          <w:u w:val="single"/>
        </w:rPr>
      </w:pPr>
      <w:r>
        <w:rPr>
          <w:rFonts w:hint="eastAsia" w:ascii="仿宋_GB2312" w:hAnsi="宋体" w:eastAsia="仿宋_GB2312"/>
          <w:b/>
          <w:sz w:val="36"/>
          <w:szCs w:val="36"/>
        </w:rPr>
        <w:t>出租人：</w:t>
      </w:r>
      <w:r>
        <w:rPr>
          <w:rFonts w:hint="eastAsia" w:ascii="仿宋_GB2312" w:hAnsi="宋体" w:eastAsia="仿宋_GB2312"/>
          <w:b/>
          <w:sz w:val="36"/>
          <w:szCs w:val="36"/>
          <w:u w:val="single"/>
        </w:rPr>
        <w:t xml:space="preserve"> 衢州市工业资产投资管理有限公司   </w:t>
      </w:r>
    </w:p>
    <w:p>
      <w:pPr>
        <w:spacing w:line="360" w:lineRule="auto"/>
        <w:ind w:firstLine="1988" w:firstLineChars="550"/>
        <w:rPr>
          <w:rFonts w:ascii="仿宋_GB2312" w:hAnsi="宋体" w:eastAsia="仿宋_GB2312"/>
          <w:b/>
          <w:sz w:val="36"/>
          <w:szCs w:val="36"/>
          <w:u w:val="single"/>
        </w:rPr>
      </w:pPr>
    </w:p>
    <w:p>
      <w:pPr>
        <w:spacing w:line="360" w:lineRule="auto"/>
        <w:ind w:firstLine="1265" w:firstLineChars="350"/>
        <w:rPr>
          <w:rFonts w:ascii="仿宋_GB2312" w:hAnsi="宋体" w:eastAsia="仿宋_GB2312"/>
          <w:b/>
          <w:sz w:val="36"/>
          <w:szCs w:val="36"/>
          <w:u w:val="single"/>
        </w:rPr>
      </w:pPr>
      <w:r>
        <w:rPr>
          <w:rFonts w:hint="eastAsia" w:ascii="仿宋_GB2312" w:hAnsi="宋体" w:eastAsia="仿宋_GB2312"/>
          <w:b/>
          <w:sz w:val="36"/>
          <w:szCs w:val="36"/>
        </w:rPr>
        <w:t>承租人：</w:t>
      </w:r>
      <w:r>
        <w:rPr>
          <w:rFonts w:hint="eastAsia" w:ascii="仿宋_GB2312" w:hAnsi="宋体" w:eastAsia="仿宋_GB2312"/>
          <w:b/>
          <w:sz w:val="36"/>
          <w:szCs w:val="36"/>
          <w:u w:val="single"/>
        </w:rPr>
        <w:t xml:space="preserve">              </w:t>
      </w:r>
    </w:p>
    <w:p>
      <w:pPr>
        <w:spacing w:line="360" w:lineRule="auto"/>
        <w:jc w:val="center"/>
        <w:rPr>
          <w:rFonts w:ascii="仿宋_GB2312" w:hAnsi="宋体" w:eastAsia="仿宋_GB2312"/>
          <w:b/>
          <w:sz w:val="36"/>
          <w:szCs w:val="36"/>
        </w:rPr>
      </w:pPr>
    </w:p>
    <w:p>
      <w:pPr>
        <w:spacing w:line="360" w:lineRule="auto"/>
        <w:jc w:val="center"/>
        <w:rPr>
          <w:rFonts w:ascii="仿宋_GB2312" w:hAnsi="宋体" w:eastAsia="仿宋_GB2312"/>
          <w:b/>
          <w:sz w:val="36"/>
          <w:szCs w:val="36"/>
        </w:rPr>
      </w:pPr>
    </w:p>
    <w:p>
      <w:pPr>
        <w:spacing w:line="360" w:lineRule="auto"/>
        <w:jc w:val="center"/>
        <w:rPr>
          <w:rFonts w:ascii="仿宋_GB2312" w:hAnsi="宋体" w:eastAsia="仿宋_GB2312"/>
          <w:b/>
          <w:sz w:val="36"/>
          <w:szCs w:val="36"/>
        </w:rPr>
      </w:pPr>
    </w:p>
    <w:p>
      <w:pPr>
        <w:spacing w:line="360" w:lineRule="auto"/>
        <w:rPr>
          <w:rFonts w:ascii="仿宋_GB2312" w:eastAsia="仿宋_GB2312"/>
          <w:b/>
          <w:sz w:val="32"/>
          <w:szCs w:val="32"/>
        </w:rPr>
      </w:pPr>
    </w:p>
    <w:p>
      <w:pPr>
        <w:jc w:val="center"/>
        <w:rPr>
          <w:rFonts w:asciiTheme="majorEastAsia" w:hAnsiTheme="majorEastAsia" w:eastAsiaTheme="majorEastAsia" w:cstheme="majorEastAsia"/>
          <w:b/>
          <w:bCs/>
          <w:sz w:val="32"/>
          <w:szCs w:val="32"/>
        </w:rPr>
      </w:pPr>
    </w:p>
    <w:p>
      <w:pPr>
        <w:jc w:val="both"/>
        <w:rPr>
          <w:rFonts w:asciiTheme="majorEastAsia" w:hAnsiTheme="majorEastAsia" w:eastAsiaTheme="majorEastAsia" w:cstheme="majorEastAsia"/>
          <w:b/>
          <w:bCs/>
          <w:sz w:val="32"/>
          <w:szCs w:val="32"/>
        </w:rPr>
      </w:pPr>
    </w:p>
    <w:p>
      <w:pPr>
        <w:jc w:val="center"/>
        <w:rPr>
          <w:rFonts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rPr>
        <w:t>房产租赁合同</w:t>
      </w:r>
    </w:p>
    <w:p>
      <w:pPr>
        <w:snapToGrid w:val="0"/>
        <w:spacing w:line="520" w:lineRule="exact"/>
        <w:rPr>
          <w:rFonts w:asciiTheme="minorEastAsia" w:hAnsiTheme="minorEastAsia" w:eastAsiaTheme="minorEastAsia" w:cstheme="minorEastAsia"/>
          <w:sz w:val="28"/>
          <w:szCs w:val="28"/>
        </w:rPr>
      </w:pPr>
    </w:p>
    <w:p>
      <w:pPr>
        <w:snapToGrid w:val="0"/>
        <w:spacing w:line="520" w:lineRule="exact"/>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出租方（甲方）：</w:t>
      </w:r>
      <w:r>
        <w:rPr>
          <w:rFonts w:hint="eastAsia" w:asciiTheme="minorEastAsia" w:hAnsiTheme="minorEastAsia" w:eastAsiaTheme="minorEastAsia" w:cstheme="minorEastAsia"/>
          <w:sz w:val="28"/>
          <w:szCs w:val="28"/>
          <w:u w:val="single"/>
        </w:rPr>
        <w:t xml:space="preserve">衢州市工业资产投资管理有限公司    </w:t>
      </w:r>
    </w:p>
    <w:p>
      <w:pPr>
        <w:snapToGrid w:val="0"/>
        <w:spacing w:line="520" w:lineRule="exac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承租方（乙方）：</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 xml:space="preserve"> </w:t>
      </w:r>
    </w:p>
    <w:p>
      <w:pPr>
        <w:snapToGrid w:val="0"/>
        <w:spacing w:line="52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为加强经营性国有资产管理，根据《中华人民共和国合同法》及国家有关法律、法规的规定，甲、乙双方在自愿、平等、互利的基础上，经协商一致，订立本房产租赁合同。 </w:t>
      </w:r>
    </w:p>
    <w:p>
      <w:pPr>
        <w:snapToGrid w:val="0"/>
        <w:spacing w:line="520" w:lineRule="exact"/>
        <w:ind w:firstLine="562" w:firstLineChars="200"/>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第一条  房屋基本情况</w:t>
      </w:r>
    </w:p>
    <w:p>
      <w:pPr>
        <w:snapToGrid w:val="0"/>
        <w:spacing w:line="52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1.1房屋坐落于 </w:t>
      </w:r>
      <w:r>
        <w:rPr>
          <w:rFonts w:hint="eastAsia" w:asciiTheme="minorEastAsia" w:hAnsiTheme="minorEastAsia" w:eastAsiaTheme="minorEastAsia" w:cstheme="minorEastAsia"/>
          <w:sz w:val="28"/>
          <w:szCs w:val="28"/>
          <w:u w:val="single"/>
        </w:rPr>
        <w:t xml:space="preserve">衢州 </w:t>
      </w:r>
      <w:r>
        <w:rPr>
          <w:rFonts w:hint="eastAsia" w:asciiTheme="minorEastAsia" w:hAnsiTheme="minorEastAsia" w:eastAsiaTheme="minorEastAsia" w:cstheme="minorEastAsia"/>
          <w:sz w:val="28"/>
          <w:szCs w:val="28"/>
        </w:rPr>
        <w:t>市</w:t>
      </w:r>
      <w:r>
        <w:rPr>
          <w:rFonts w:hint="eastAsia" w:asciiTheme="minorEastAsia" w:hAnsiTheme="minorEastAsia" w:eastAsiaTheme="minorEastAsia" w:cstheme="minorEastAsia"/>
          <w:sz w:val="28"/>
          <w:szCs w:val="28"/>
          <w:u w:val="single"/>
        </w:rPr>
        <w:t xml:space="preserve">  柯城 </w:t>
      </w:r>
      <w:r>
        <w:rPr>
          <w:rFonts w:hint="eastAsia" w:asciiTheme="minorEastAsia" w:hAnsiTheme="minorEastAsia" w:eastAsiaTheme="minorEastAsia" w:cstheme="minorEastAsia"/>
          <w:sz w:val="28"/>
          <w:szCs w:val="28"/>
        </w:rPr>
        <w:t>区（县）</w:t>
      </w:r>
      <w:r>
        <w:rPr>
          <w:rFonts w:hint="eastAsia" w:asciiTheme="minorEastAsia" w:hAnsiTheme="minorEastAsia" w:eastAsiaTheme="minorEastAsia" w:cstheme="minorEastAsia"/>
          <w:sz w:val="28"/>
          <w:szCs w:val="28"/>
          <w:u w:val="single"/>
        </w:rPr>
        <w:t>西区白云东大道228号浙电生活区内平房</w:t>
      </w:r>
      <w:r>
        <w:rPr>
          <w:rFonts w:hint="eastAsia" w:asciiTheme="minorEastAsia" w:hAnsiTheme="minorEastAsia" w:eastAsiaTheme="minorEastAsia" w:cstheme="minorEastAsia"/>
          <w:sz w:val="28"/>
          <w:szCs w:val="28"/>
          <w:u w:val="single"/>
          <w:lang w:val="en-US" w:eastAsia="zh-CN"/>
        </w:rPr>
        <w:t xml:space="preserve">  段</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 xml:space="preserve"> ，面积约为 </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rPr>
        <w:t>平方米。</w:t>
      </w:r>
    </w:p>
    <w:p>
      <w:pPr>
        <w:snapToGrid w:val="0"/>
        <w:spacing w:line="52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1.2房屋权属状况：甲方持有（√房屋所有权证/ □房屋买卖合同/ □其他房屋来源证明文件），房屋所有权证书编号：</w:t>
      </w:r>
      <w:r>
        <w:rPr>
          <w:rFonts w:hint="eastAsia" w:asciiTheme="minorEastAsia" w:hAnsiTheme="minorEastAsia" w:eastAsiaTheme="minorEastAsia" w:cstheme="minorEastAsia"/>
          <w:sz w:val="28"/>
          <w:szCs w:val="28"/>
          <w:u w:val="single"/>
        </w:rPr>
        <w:t>衢房证字第     号 。</w:t>
      </w:r>
      <w:r>
        <w:rPr>
          <w:rFonts w:hint="eastAsia" w:asciiTheme="minorEastAsia" w:hAnsiTheme="minorEastAsia" w:eastAsiaTheme="minorEastAsia" w:cstheme="minorEastAsia"/>
          <w:sz w:val="28"/>
          <w:szCs w:val="28"/>
        </w:rPr>
        <w:t xml:space="preserve">                                                                       </w:t>
      </w:r>
    </w:p>
    <w:p>
      <w:pPr>
        <w:snapToGrid w:val="0"/>
        <w:spacing w:line="52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1.3房屋用途：</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rPr>
        <w:t>在租赁期限内，乙方不得擅自改变该房产的使用用途、房产的原有结构及外立面。</w:t>
      </w:r>
    </w:p>
    <w:p>
      <w:pPr>
        <w:snapToGrid w:val="0"/>
        <w:spacing w:line="520" w:lineRule="exact"/>
        <w:ind w:firstLine="562"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第二条  租赁期限及租金、押金</w:t>
      </w:r>
    </w:p>
    <w:p>
      <w:pPr>
        <w:snapToGrid w:val="0"/>
        <w:spacing w:line="52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2.1 房屋租赁期：</w:t>
      </w:r>
      <w:r>
        <w:rPr>
          <w:rFonts w:hint="eastAsia" w:asciiTheme="minorEastAsia" w:hAnsiTheme="minorEastAsia" w:eastAsiaTheme="minorEastAsia" w:cstheme="minorEastAsia"/>
          <w:sz w:val="28"/>
          <w:szCs w:val="28"/>
          <w:u w:val="single"/>
        </w:rPr>
        <w:t>201</w:t>
      </w:r>
      <w:r>
        <w:rPr>
          <w:rFonts w:hint="eastAsia" w:asciiTheme="minorEastAsia" w:hAnsiTheme="minorEastAsia" w:eastAsiaTheme="minorEastAsia" w:cstheme="minorEastAsia"/>
          <w:sz w:val="28"/>
          <w:szCs w:val="28"/>
          <w:u w:val="single"/>
          <w:lang w:val="en-US" w:eastAsia="zh-CN"/>
        </w:rPr>
        <w:t>8</w:t>
      </w:r>
      <w:r>
        <w:rPr>
          <w:rFonts w:hint="eastAsia" w:asciiTheme="minorEastAsia" w:hAnsiTheme="minorEastAsia" w:eastAsiaTheme="minorEastAsia" w:cstheme="minorEastAsia"/>
          <w:sz w:val="28"/>
          <w:szCs w:val="28"/>
        </w:rPr>
        <w:t xml:space="preserve">年 </w:t>
      </w:r>
      <w:r>
        <w:rPr>
          <w:rFonts w:hint="eastAsia" w:asciiTheme="minorEastAsia" w:hAnsiTheme="minorEastAsia" w:eastAsiaTheme="minorEastAsia" w:cstheme="minorEastAsia"/>
          <w:sz w:val="28"/>
          <w:szCs w:val="28"/>
          <w:u w:val="single"/>
        </w:rPr>
        <w:t xml:space="preserve"> 10</w:t>
      </w:r>
      <w:r>
        <w:rPr>
          <w:rFonts w:hint="eastAsia" w:asciiTheme="minorEastAsia" w:hAnsiTheme="minorEastAsia" w:eastAsiaTheme="minorEastAsia" w:cstheme="minorEastAsia"/>
          <w:sz w:val="28"/>
          <w:szCs w:val="28"/>
        </w:rPr>
        <w:t>月</w:t>
      </w:r>
      <w:r>
        <w:rPr>
          <w:rFonts w:hint="eastAsia" w:asciiTheme="minorEastAsia" w:hAnsiTheme="minorEastAsia" w:eastAsiaTheme="minorEastAsia" w:cstheme="minorEastAsia"/>
          <w:sz w:val="28"/>
          <w:szCs w:val="28"/>
          <w:u w:val="single"/>
        </w:rPr>
        <w:t xml:space="preserve"> 9 </w:t>
      </w:r>
      <w:r>
        <w:rPr>
          <w:rFonts w:hint="eastAsia" w:asciiTheme="minorEastAsia" w:hAnsiTheme="minorEastAsia" w:eastAsiaTheme="minorEastAsia" w:cstheme="minorEastAsia"/>
          <w:sz w:val="28"/>
          <w:szCs w:val="28"/>
        </w:rPr>
        <w:t>日至</w:t>
      </w:r>
      <w:r>
        <w:rPr>
          <w:rFonts w:hint="eastAsia" w:asciiTheme="minorEastAsia" w:hAnsiTheme="minorEastAsia" w:eastAsiaTheme="minorEastAsia" w:cstheme="minorEastAsia"/>
          <w:sz w:val="28"/>
          <w:szCs w:val="28"/>
          <w:u w:val="single"/>
        </w:rPr>
        <w:t xml:space="preserve"> 201</w:t>
      </w:r>
      <w:r>
        <w:rPr>
          <w:rFonts w:hint="eastAsia" w:asciiTheme="minorEastAsia" w:hAnsiTheme="minorEastAsia" w:eastAsiaTheme="minorEastAsia" w:cstheme="minorEastAsia"/>
          <w:sz w:val="28"/>
          <w:szCs w:val="28"/>
          <w:u w:val="single"/>
          <w:lang w:val="en-US" w:eastAsia="zh-CN"/>
        </w:rPr>
        <w:t>9</w:t>
      </w:r>
      <w:r>
        <w:rPr>
          <w:rFonts w:hint="eastAsia" w:asciiTheme="minorEastAsia" w:hAnsiTheme="minorEastAsia" w:eastAsiaTheme="minorEastAsia" w:cstheme="minorEastAsia"/>
          <w:sz w:val="28"/>
          <w:szCs w:val="28"/>
        </w:rPr>
        <w:t>年</w:t>
      </w:r>
      <w:r>
        <w:rPr>
          <w:rFonts w:hint="eastAsia" w:asciiTheme="minorEastAsia" w:hAnsiTheme="minorEastAsia" w:eastAsiaTheme="minorEastAsia" w:cstheme="minorEastAsia"/>
          <w:sz w:val="28"/>
          <w:szCs w:val="28"/>
          <w:u w:val="single"/>
        </w:rPr>
        <w:t xml:space="preserve">10 </w:t>
      </w:r>
      <w:r>
        <w:rPr>
          <w:rFonts w:hint="eastAsia" w:asciiTheme="minorEastAsia" w:hAnsiTheme="minorEastAsia" w:eastAsiaTheme="minorEastAsia" w:cstheme="minorEastAsia"/>
          <w:sz w:val="28"/>
          <w:szCs w:val="28"/>
        </w:rPr>
        <w:t>月</w:t>
      </w:r>
      <w:r>
        <w:rPr>
          <w:rFonts w:hint="eastAsia" w:asciiTheme="minorEastAsia" w:hAnsiTheme="minorEastAsia" w:eastAsiaTheme="minorEastAsia" w:cstheme="minorEastAsia"/>
          <w:sz w:val="28"/>
          <w:szCs w:val="28"/>
          <w:u w:val="single"/>
        </w:rPr>
        <w:t xml:space="preserve">8 </w:t>
      </w:r>
      <w:r>
        <w:rPr>
          <w:rFonts w:hint="eastAsia" w:asciiTheme="minorEastAsia" w:hAnsiTheme="minorEastAsia" w:eastAsiaTheme="minorEastAsia" w:cstheme="minorEastAsia"/>
          <w:sz w:val="28"/>
          <w:szCs w:val="28"/>
        </w:rPr>
        <w:t xml:space="preserve">日，共计 </w:t>
      </w:r>
      <w:r>
        <w:rPr>
          <w:rFonts w:hint="eastAsia" w:asciiTheme="minorEastAsia" w:hAnsiTheme="minorEastAsia" w:eastAsiaTheme="minorEastAsia" w:cstheme="minorEastAsia"/>
          <w:sz w:val="28"/>
          <w:szCs w:val="28"/>
          <w:u w:val="single"/>
        </w:rPr>
        <w:t>1年</w:t>
      </w:r>
      <w:r>
        <w:rPr>
          <w:rFonts w:hint="eastAsia" w:asciiTheme="minorEastAsia" w:hAnsiTheme="minorEastAsia" w:eastAsiaTheme="minorEastAsia" w:cstheme="minorEastAsia"/>
          <w:sz w:val="28"/>
          <w:szCs w:val="28"/>
        </w:rPr>
        <w:t xml:space="preserve">。  </w:t>
      </w:r>
    </w:p>
    <w:p>
      <w:pPr>
        <w:snapToGrid w:val="0"/>
        <w:spacing w:line="52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经双方确认，签订本租赁合同前，该房产已符合交付使用条件；合同生效后乙方即可接收所租赁的房产。租赁期满，甲方有权收回全部出租房产，乙方应如期交还，并确保房产样貌除正常使用造成的损耗外基本完好。乙方如要求续租的，则须在租赁期间届满3个月前向甲方提出书面意向，经甲方同意后，双方另行商签租赁合同。</w:t>
      </w:r>
    </w:p>
    <w:p>
      <w:pPr>
        <w:snapToGrid w:val="0"/>
        <w:spacing w:line="520" w:lineRule="exac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2.2 租金标准：租金为人民币（大写）</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u w:val="single"/>
        </w:rPr>
        <w:t>万</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u w:val="single"/>
        </w:rPr>
        <w:t>仟</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u w:val="single"/>
        </w:rPr>
        <w:t>佰</w:t>
      </w:r>
      <w:r>
        <w:rPr>
          <w:rFonts w:hint="eastAsia" w:asciiTheme="minorEastAsia" w:hAnsiTheme="minorEastAsia" w:eastAsiaTheme="minorEastAsia" w:cstheme="minorEastAsia"/>
          <w:sz w:val="28"/>
          <w:szCs w:val="28"/>
        </w:rPr>
        <w:t>元，（小写¥</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w:t>
      </w:r>
    </w:p>
    <w:p>
      <w:pPr>
        <w:snapToGrid w:val="0"/>
        <w:spacing w:line="52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2.3 支付方式：按照先交租金后使用的原则，租金按年度支付，首年租金在《租赁合同》生效之日起三个工作日内一次性付清（若乙方以汇款形式支付租金，则支付日期以汇出凭证日期为准，汇费由乙方承担）。甲方收到租金后应予以书面签收并向乙方提供收据。</w:t>
      </w:r>
    </w:p>
    <w:p>
      <w:pPr>
        <w:snapToGrid w:val="0"/>
        <w:spacing w:line="52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2.4 履约保证金（押金）：租赁期限届满，如乙方无任何违约情况，则甲方应于乙方按时将房屋完好地向甲方交割清楚、并付清所有乙方应付费用后三天内一次性将押金全额无息退还乙方；如乙方违反本协议约定且拒不承担违约责任的，则甲方有权从乙方交付的押金中予以扣除违约金，直至乙方依约履行完毕其合同义务为止。</w:t>
      </w:r>
    </w:p>
    <w:p>
      <w:pPr>
        <w:snapToGrid w:val="0"/>
        <w:spacing w:line="520" w:lineRule="exact"/>
        <w:ind w:firstLine="562" w:firstLineChars="200"/>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 xml:space="preserve">三、其它费用 </w:t>
      </w:r>
    </w:p>
    <w:p>
      <w:pPr>
        <w:snapToGrid w:val="0"/>
        <w:spacing w:line="52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3.1乙方除自行承担其使用的电话费、网络费等费用外，还应承担物业服务费，及水、电费、空调费等。乙方支付该费用的时间为收到缴费通知单后七天内。 </w:t>
      </w:r>
    </w:p>
    <w:p>
      <w:pPr>
        <w:snapToGrid w:val="0"/>
        <w:spacing w:line="520" w:lineRule="exact"/>
        <w:ind w:firstLine="562"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四、房产修缮责任</w:t>
      </w:r>
      <w:r>
        <w:rPr>
          <w:rFonts w:hint="eastAsia" w:asciiTheme="minorEastAsia" w:hAnsiTheme="minorEastAsia" w:eastAsiaTheme="minorEastAsia" w:cstheme="minorEastAsia"/>
          <w:sz w:val="28"/>
          <w:szCs w:val="28"/>
        </w:rPr>
        <w:t xml:space="preserve"> </w:t>
      </w:r>
    </w:p>
    <w:p>
      <w:pPr>
        <w:snapToGrid w:val="0"/>
        <w:spacing w:line="52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4.1乙方应爱护并合理使用其所承租的该房产及其附属设施。乙方承租范围内设施设备的维修养护责任由乙方承担。如乙方因使用不当或其来访客人故意或过失行为造成房产或其他设施设备损坏的，乙方应立即负责修复或予以经济赔偿。</w:t>
      </w:r>
    </w:p>
    <w:p>
      <w:pPr>
        <w:snapToGrid w:val="0"/>
        <w:spacing w:line="52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4.2除房产内已有装修和设施外，乙方如确需作必要装修或变更原有非公共设施的，应于拟进行装修之日提前10天向甲方报备。对按规定应向有关职能部门办理报批或备案手续的装修或增设设施设备事项，须办妥有关手续并将相关审批或备案资料向甲方报备，否则，乙方不得进场施工。乙方装修期间应采取一切必要的、合理的安全防护措施，乙方及装修施工人员须遵守施工现场安全文明管理规范，同时，需接受甲方对施工的监督管理；乙方装修时不得破坏房产结构、污损公共区域和改变园区的整体形象。 </w:t>
      </w:r>
    </w:p>
    <w:p>
      <w:pPr>
        <w:snapToGrid w:val="0"/>
        <w:spacing w:line="52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乙方须按《消防法》第十条及政府有关部门的规定向公安机关消防机构或政府有关部门提交该装修工程所有必要的申请及图案等消防设计文件进行备案或审核。乙方不得在获得消防、环保等所有必要的政府有关部门的批准或备案前，对该租赁房产进行内部装修、分隔、安装设备或改造。倘乙方在获得所有必要的政府有关部门的批准前，已开始对该房产进行内部装修、分隔、安装设备或改造，乙方必须对该等非法工程而引起的一切后果独自承担责任。乙方必须对甲方因乙方违反本规定而引起的一切损失、索赔、开支、诉讼负全额赔偿的责任。 为确保使用安全和便于统一管理，乙方须在自行装修完成后1个月内提供自行装修范围内有关管线竣工图供甲方存档。 </w:t>
      </w:r>
    </w:p>
    <w:p>
      <w:pPr>
        <w:snapToGrid w:val="0"/>
        <w:spacing w:line="520" w:lineRule="exact"/>
        <w:ind w:firstLine="56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4.3 在租赁期限届满或以任何原因终止本合同时，乙方应将该房产及其附属设施返还甲方。对乙方添置的未形成附合的设备可由其自行收回，但乙方拆除添置的设备时，不得损坏房产、影响甲方出租；而对乙方装饰装修部分是否拆除需经双方协商。乙方房产返还后，对于该房产内乙方遗留的物品，将被视作抛弃物，甲方有权处理，由此增加甲方费用支出的，乙方应于赔偿。</w:t>
      </w:r>
    </w:p>
    <w:p>
      <w:pPr>
        <w:snapToGrid w:val="0"/>
        <w:spacing w:line="520" w:lineRule="exact"/>
        <w:ind w:firstLine="562" w:firstLineChars="200"/>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 xml:space="preserve">五、公共区域的约定 </w:t>
      </w:r>
    </w:p>
    <w:p>
      <w:pPr>
        <w:snapToGrid w:val="0"/>
        <w:spacing w:line="52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5.1.乙方在该房产安装任何从该房产外部（含走廊、公共通道、房产外墙等）可见的照明招牌、服务标志、广告、标记或宣传物前，必须经甲方书面同意，并向甲方提交详细的设计图纸、效果图等，必要时还需报经房产所在地有关职能部门审查核定。 </w:t>
      </w:r>
    </w:p>
    <w:p>
      <w:pPr>
        <w:snapToGrid w:val="0"/>
        <w:spacing w:line="52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5.2乙方在使用物业期间，不得有影响消防安全疏散通道、安全出口畅通的行为；不得影响安全出口设施、疏散指示标志、应急照明灯等的正常使用；租赁房产内，乙方应按有关规定或规范配置必要的消防器材。</w:t>
      </w:r>
    </w:p>
    <w:p>
      <w:pPr>
        <w:snapToGrid w:val="0"/>
        <w:spacing w:line="520" w:lineRule="exact"/>
        <w:ind w:firstLine="562" w:firstLineChars="200"/>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 xml:space="preserve">六、转租的约定 </w:t>
      </w:r>
    </w:p>
    <w:p>
      <w:pPr>
        <w:pStyle w:val="5"/>
        <w:widowControl/>
        <w:snapToGrid w:val="0"/>
        <w:spacing w:line="520" w:lineRule="exac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6.1 在租赁期内，未经甲方书面同意，乙方原则上不得擅自转租、转借承租房屋。如确有需要，乙方将承租的该房产部分转租他人或与第三者合用需向甲方书面报备。但转租或合用不得违反本合同约定的承租房产的租赁期限或用途。 </w:t>
      </w:r>
    </w:p>
    <w:p>
      <w:pPr>
        <w:snapToGrid w:val="0"/>
        <w:spacing w:line="520" w:lineRule="exact"/>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 xml:space="preserve">    七、合同解除及违约责任</w:t>
      </w:r>
    </w:p>
    <w:p>
      <w:pPr>
        <w:snapToGrid w:val="0"/>
        <w:spacing w:line="52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7.1在租赁期内，乙方有下列行为之一的，乙方除承担相应的违约责任外，甲方有权解除本合同，收回该房产，由此造成甲方损失的，乙方还应赔偿实际损失额： </w:t>
      </w:r>
    </w:p>
    <w:p>
      <w:pPr>
        <w:snapToGrid w:val="0"/>
        <w:spacing w:line="52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（1）逾期支付租金超过15日的；</w:t>
      </w:r>
    </w:p>
    <w:p>
      <w:pPr>
        <w:snapToGrid w:val="0"/>
        <w:spacing w:line="520" w:lineRule="exac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（2）未经甲方同意，将该房产全部转租他人或部分转租他人、转借他人、与他人合用或调换使用超过30日未向甲方书面备案的； </w:t>
      </w:r>
    </w:p>
    <w:p>
      <w:pPr>
        <w:snapToGrid w:val="0"/>
        <w:spacing w:line="52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（3）未经甲方书面同意，擅自拆改变动房产结构，或损坏房产，且经甲方书面通知，在限定时间内仍未纠正并修复的； </w:t>
      </w:r>
    </w:p>
    <w:p>
      <w:pPr>
        <w:snapToGrid w:val="0"/>
        <w:spacing w:line="52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（4）擅自改变本合同规定的租赁用途；</w:t>
      </w:r>
    </w:p>
    <w:p>
      <w:pPr>
        <w:snapToGrid w:val="0"/>
        <w:spacing w:line="52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（5）利用该房产进行违法违章活动和危害大楼和其它用户安全的行为； </w:t>
      </w:r>
    </w:p>
    <w:p>
      <w:pPr>
        <w:snapToGrid w:val="0"/>
        <w:spacing w:line="52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（6）每一租赁年度拖欠水电费、空调、物业管理费等累计半个月以上的； </w:t>
      </w:r>
    </w:p>
    <w:p>
      <w:pPr>
        <w:snapToGrid w:val="0"/>
        <w:spacing w:line="52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（7）租赁期限内，乙方擅自退租或迁出的； </w:t>
      </w:r>
    </w:p>
    <w:p>
      <w:pPr>
        <w:snapToGrid w:val="0"/>
        <w:spacing w:line="52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（8）由于乙方的原因，根据法律、法规规定甲方有权解除合同的其它情况；</w:t>
      </w:r>
    </w:p>
    <w:p>
      <w:pPr>
        <w:snapToGrid w:val="0"/>
        <w:spacing w:line="52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7.2在租赁期内，甲方有下列行为之一的，甲方除承担相应的违约责任外，乙方有权解除本合同，并按合同解除时年度租金20%的标准要求甲方支付违约金。由此造成乙方损失的，甲方还应赔偿实际损失额：</w:t>
      </w:r>
    </w:p>
    <w:p>
      <w:pPr>
        <w:snapToGrid w:val="0"/>
        <w:spacing w:line="52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（1）承租房产权属、占有使用权利发生争议影响乙方使用的；</w:t>
      </w:r>
    </w:p>
    <w:p>
      <w:pPr>
        <w:snapToGrid w:val="0"/>
        <w:spacing w:line="52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（2）未按约定将房屋及其附属设施交付乙方使用的；</w:t>
      </w:r>
    </w:p>
    <w:p>
      <w:pPr>
        <w:snapToGrid w:val="0"/>
        <w:spacing w:line="52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（3）交付的房屋及其附属设施不符合合同要求，或未按合同规定对房屋进行维修养护，危及乙方正常、安全使用的；</w:t>
      </w:r>
    </w:p>
    <w:p>
      <w:pPr>
        <w:snapToGrid w:val="0"/>
        <w:spacing w:line="52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（4）租赁期间内，擅自解除合同或要求乙方退租的；</w:t>
      </w:r>
    </w:p>
    <w:p>
      <w:pPr>
        <w:snapToGrid w:val="0"/>
        <w:spacing w:line="52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（5）由于甲方的原因，根据法律、法规规定乙方有权解除合同的其它情况；</w:t>
      </w:r>
    </w:p>
    <w:p>
      <w:pPr>
        <w:snapToGrid w:val="0"/>
        <w:spacing w:line="520" w:lineRule="exac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7.3合同期内因政府需要（拆迁、自用、其他因素）等政策性原因必须收回租赁房产而导致本合同无法继续履行的，甲方须提前三个月书面通知乙方，乙方按甲方通知的日期内将房屋腾空，本合同终止。</w:t>
      </w:r>
    </w:p>
    <w:p>
      <w:pPr>
        <w:snapToGrid w:val="0"/>
        <w:spacing w:line="520" w:lineRule="exac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7.4一方根据本合同的约定解除本合同的，本合同在该方向另一方送达书面解除通知之日解除，双方应在本合同解除后20日内办理完毕退租交房手续并在上述期间结清房租、水电费、物业费等税、费。合同解除后，乙方租金应付至乙方办理完毕退租交房手续之日。若本合同解除后，乙方未按前款约定办理退租交房手续，房租计算至合同解除后的第20日。自合同解除后的第20日的次日起，房产内乙方物品被视为乙方抛弃物，甲方有权自行处置，乙方不得因此向甲方主张任何权利和索赔。如因乙方原因，甲方无法对被视为乙方抛弃物的物品处置的，租金应计算至乙方上述物品全部搬离之日。 </w:t>
      </w:r>
    </w:p>
    <w:p>
      <w:pPr>
        <w:pStyle w:val="4"/>
        <w:widowControl/>
        <w:shd w:val="clear" w:color="auto" w:fill="FFFFFF"/>
        <w:snapToGrid w:val="0"/>
        <w:spacing w:line="520" w:lineRule="exact"/>
        <w:ind w:firstLine="560"/>
        <w:rPr>
          <w:rFonts w:hint="default" w:asciiTheme="minorEastAsia" w:hAnsiTheme="minorEastAsia" w:eastAsiaTheme="minorEastAsia" w:cstheme="minorEastAsia"/>
          <w:sz w:val="28"/>
          <w:szCs w:val="28"/>
        </w:rPr>
      </w:pPr>
      <w:r>
        <w:rPr>
          <w:rFonts w:asciiTheme="minorEastAsia" w:hAnsiTheme="minorEastAsia" w:eastAsiaTheme="minorEastAsia" w:cstheme="minorEastAsia"/>
          <w:sz w:val="28"/>
          <w:szCs w:val="28"/>
        </w:rPr>
        <w:t>7.5 乙方未按期缴纳房租，从计算租金日期开始每逾期一天按年租金的5‰向甲方支付违约金，违约金从履约保证金中扣除，不足部分由甲方追偿。</w:t>
      </w:r>
    </w:p>
    <w:p>
      <w:pPr>
        <w:pStyle w:val="4"/>
        <w:widowControl/>
        <w:shd w:val="clear" w:color="auto" w:fill="FFFFFF"/>
        <w:snapToGrid w:val="0"/>
        <w:spacing w:line="520" w:lineRule="exact"/>
        <w:ind w:firstLine="560"/>
        <w:rPr>
          <w:rFonts w:hint="default" w:asciiTheme="minorEastAsia" w:hAnsiTheme="minorEastAsia" w:eastAsiaTheme="minorEastAsia" w:cstheme="minorEastAsia"/>
          <w:sz w:val="28"/>
          <w:szCs w:val="28"/>
        </w:rPr>
      </w:pPr>
      <w:r>
        <w:rPr>
          <w:rFonts w:asciiTheme="minorEastAsia" w:hAnsiTheme="minorEastAsia" w:eastAsiaTheme="minorEastAsia" w:cstheme="minorEastAsia"/>
          <w:sz w:val="28"/>
          <w:szCs w:val="28"/>
        </w:rPr>
        <w:t xml:space="preserve">7.6在租赁期限内，乙方未经甲方同意，中途擅自退租的，按退租时的年度租金20%的标准向甲方支付违约金。 </w:t>
      </w:r>
    </w:p>
    <w:p>
      <w:pPr>
        <w:snapToGrid w:val="0"/>
        <w:spacing w:line="52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kern w:val="0"/>
          <w:sz w:val="28"/>
          <w:szCs w:val="28"/>
          <w:lang w:bidi="ar"/>
        </w:rPr>
        <w:t>7.7在租赁期限内，乙方逾期缴纳水、电及物业服务费等费用的，在不影响甲方其他权利或补救的前提下，乙方将承担相应费用滞纳的违约责任。水、电及物业服务费等费用违约金每日按欠费总额的_‰计算。因此造成的一切后果由乙</w:t>
      </w:r>
      <w:r>
        <w:rPr>
          <w:rFonts w:hint="eastAsia" w:asciiTheme="minorEastAsia" w:hAnsiTheme="minorEastAsia" w:eastAsiaTheme="minorEastAsia" w:cstheme="minorEastAsia"/>
          <w:sz w:val="28"/>
          <w:szCs w:val="28"/>
        </w:rPr>
        <w:t xml:space="preserve">方自行承担。 </w:t>
      </w:r>
    </w:p>
    <w:p>
      <w:pPr>
        <w:snapToGrid w:val="0"/>
        <w:spacing w:line="520" w:lineRule="exac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7.8租赁期满且双方未能签订续租合同的，乙方应在本合同的租期届满后及时返还该房产。未经甲方同意由于乙方单方的原因导致逾期返还房产的，每逾期一日，乙方应按本合同期限届满时双方所约定日租金的2倍向甲方支付该房产占用期间的使用费。同时，甲方有权采取令乙方停止经营活动的有效措施和强制搬迁。 </w:t>
      </w:r>
    </w:p>
    <w:p>
      <w:pPr>
        <w:snapToGrid w:val="0"/>
        <w:spacing w:line="52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7.9若该房产在乙方租赁期间因乙方原因被有关机关查封且乙方在查封期间内存在拖欠水电能耗费、物业费等情形，该房产被查封期间内的水电能耗费、物业费等按本合同约定价格赔偿实际损失。</w:t>
      </w:r>
    </w:p>
    <w:p>
      <w:pPr>
        <w:snapToGrid w:val="0"/>
        <w:spacing w:line="520" w:lineRule="exact"/>
        <w:ind w:firstLine="562" w:firstLineChars="200"/>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第八条  争议的解决及管辖</w:t>
      </w:r>
    </w:p>
    <w:p>
      <w:pPr>
        <w:snapToGrid w:val="0"/>
        <w:spacing w:line="520" w:lineRule="exac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8.1本合同发生争议，由双方当事人协商解决；协商不成的，由原告住所地人民法院管辖。如因乙方违约引起的诉讼，则因诉讼产生的一切费用均由乙方承担。</w:t>
      </w:r>
    </w:p>
    <w:p>
      <w:pPr>
        <w:snapToGrid w:val="0"/>
        <w:spacing w:line="520" w:lineRule="exact"/>
        <w:ind w:firstLine="562" w:firstLineChars="200"/>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第九条  其他条款</w:t>
      </w:r>
    </w:p>
    <w:p>
      <w:pPr>
        <w:snapToGrid w:val="0"/>
        <w:spacing w:line="520" w:lineRule="exac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9.1租赁期间，乙方应根据《安全生产法》、《消防法》、《浙江省安全生产条例》等法律法规，加强安全生产基础建设和管理工作, 建立和落实消防安全责任制与措施，建立和落实必要的值班、巡查和安全用电制度，做好单位内部的安全生产、消防安全管理，防止和减少生产安全事故,保障人员生命和财产安全。如由于乙方违反相关管理办法，而发生各类安全事故的，由乙方承担相应责任。 </w:t>
      </w:r>
    </w:p>
    <w:p>
      <w:pPr>
        <w:snapToGrid w:val="0"/>
        <w:spacing w:line="520" w:lineRule="exac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9.2本合同未尽事宜，经甲、乙双方协商一致，可订立补充条款。补充条款及附件均为本合同不可分割的一部分。本合同及其补充条款具有同等效力。如本合同条款和补充条款的约定有重复或矛盾，应以补充条款的约定为准遵照履行。 </w:t>
      </w:r>
    </w:p>
    <w:p>
      <w:pPr>
        <w:snapToGrid w:val="0"/>
        <w:spacing w:line="520" w:lineRule="exact"/>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sz w:val="28"/>
          <w:szCs w:val="28"/>
        </w:rPr>
        <w:t xml:space="preserve">    9.3本合同及附件一式肆份，甲、乙双方各执贰份，送衢州市产权交易中心有限公司壹份，各方执有合同圴</w:t>
      </w:r>
      <w:r>
        <w:rPr>
          <w:rFonts w:hint="eastAsia" w:asciiTheme="minorEastAsia" w:hAnsiTheme="minorEastAsia" w:eastAsiaTheme="minorEastAsia" w:cstheme="minorEastAsia"/>
          <w:color w:val="000000"/>
          <w:sz w:val="28"/>
          <w:szCs w:val="28"/>
        </w:rPr>
        <w:t>具有同等的法律效力。自甲、乙双方法定代表人或授权代表人签字并加盖公章，即日生效。</w:t>
      </w:r>
    </w:p>
    <w:p>
      <w:pPr>
        <w:snapToGrid w:val="0"/>
        <w:spacing w:line="520" w:lineRule="exac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9.4乙方送达文书材料地址：</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u w:val="single"/>
        </w:rPr>
        <w:t>。</w:t>
      </w:r>
      <w:r>
        <w:rPr>
          <w:rFonts w:hint="eastAsia" w:asciiTheme="minorEastAsia" w:hAnsiTheme="minorEastAsia" w:eastAsiaTheme="minorEastAsia" w:cstheme="minorEastAsia"/>
          <w:sz w:val="28"/>
          <w:szCs w:val="28"/>
        </w:rPr>
        <w:t>乙方承诺以上送达地址及数据电文号码系本人提供并经本人确认，信件、快件数据电文等通知到达该地址即视为送达，本人并愿意就此承担相应法律后果。如上述地址、号码有变更本人未准确及时告知甲方，由此造成的后果本人自愿一并承担。</w:t>
      </w:r>
    </w:p>
    <w:p>
      <w:pPr>
        <w:snapToGrid w:val="0"/>
        <w:spacing w:line="520" w:lineRule="exac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9</w:t>
      </w:r>
      <w:bookmarkStart w:id="0" w:name="_GoBack"/>
      <w:bookmarkEnd w:id="0"/>
      <w:r>
        <w:rPr>
          <w:rFonts w:hint="eastAsia" w:asciiTheme="minorEastAsia" w:hAnsiTheme="minorEastAsia" w:eastAsiaTheme="minorEastAsia" w:cstheme="minorEastAsia"/>
          <w:sz w:val="28"/>
          <w:szCs w:val="28"/>
        </w:rPr>
        <w:t>.5 特别约定</w:t>
      </w:r>
    </w:p>
    <w:p>
      <w:pPr>
        <w:numPr>
          <w:ilvl w:val="0"/>
          <w:numId w:val="1"/>
        </w:numPr>
        <w:snapToGrid w:val="0"/>
        <w:spacing w:line="520" w:lineRule="exact"/>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u w:val="single"/>
        </w:rPr>
        <w:t xml:space="preserve"> 无                                                 。</w:t>
      </w:r>
    </w:p>
    <w:p>
      <w:pPr>
        <w:snapToGrid w:val="0"/>
        <w:spacing w:line="520" w:lineRule="exact"/>
        <w:rPr>
          <w:rFonts w:asciiTheme="minorEastAsia" w:hAnsiTheme="minorEastAsia" w:eastAsiaTheme="minorEastAsia" w:cstheme="minorEastAsia"/>
          <w:sz w:val="28"/>
          <w:szCs w:val="28"/>
        </w:rPr>
      </w:pPr>
    </w:p>
    <w:p>
      <w:pPr>
        <w:snapToGrid w:val="0"/>
        <w:spacing w:line="520" w:lineRule="exact"/>
        <w:rPr>
          <w:rFonts w:asciiTheme="minorEastAsia" w:hAnsiTheme="minorEastAsia" w:eastAsiaTheme="minorEastAsia" w:cstheme="minorEastAsia"/>
          <w:sz w:val="28"/>
          <w:szCs w:val="28"/>
        </w:rPr>
      </w:pPr>
    </w:p>
    <w:p>
      <w:pPr>
        <w:snapToGrid w:val="0"/>
        <w:spacing w:line="520" w:lineRule="exac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甲方（盖章）：                        乙方（盖章）： </w:t>
      </w:r>
    </w:p>
    <w:p>
      <w:pPr>
        <w:snapToGrid w:val="0"/>
        <w:spacing w:line="520" w:lineRule="exact"/>
        <w:rPr>
          <w:rFonts w:asciiTheme="minorEastAsia" w:hAnsiTheme="minorEastAsia" w:eastAsiaTheme="minorEastAsia" w:cstheme="minorEastAsia"/>
          <w:sz w:val="28"/>
          <w:szCs w:val="28"/>
        </w:rPr>
      </w:pPr>
    </w:p>
    <w:p>
      <w:pPr>
        <w:snapToGrid w:val="0"/>
        <w:spacing w:line="520" w:lineRule="exac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法定代表人/代理人（签字）：         法定代表人/代理人（签字）： </w:t>
      </w:r>
    </w:p>
    <w:p>
      <w:pPr>
        <w:snapToGrid w:val="0"/>
        <w:spacing w:line="520" w:lineRule="exact"/>
        <w:rPr>
          <w:rFonts w:asciiTheme="minorEastAsia" w:hAnsiTheme="minorEastAsia" w:eastAsiaTheme="minorEastAsia" w:cstheme="minorEastAsia"/>
          <w:sz w:val="28"/>
          <w:szCs w:val="28"/>
        </w:rPr>
      </w:pPr>
    </w:p>
    <w:p>
      <w:pPr>
        <w:snapToGrid w:val="0"/>
        <w:spacing w:line="520" w:lineRule="exac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签约日期：     年   月   日</w:t>
      </w:r>
    </w:p>
    <w:sectPr>
      <w:headerReference r:id="rId3" w:type="default"/>
      <w:footerReference r:id="rId4" w:type="default"/>
      <w:pgSz w:w="11906" w:h="16838"/>
      <w:pgMar w:top="1440" w:right="1800" w:bottom="1440" w:left="1800" w:header="851" w:footer="992" w:gutter="0"/>
      <w:pgNumType w:fmt="numberInDash"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28"/>
                              <w:szCs w:val="2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- 6 -</w:t>
                          </w:r>
                          <w:r>
                            <w:rPr>
                              <w:rFonts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C8JksDEAIAAAcEAAAOAAAAAAAAAAEAIAAA&#10;AB8BAABkcnMvZTJvRG9jLnhtbFBLBQYAAAAABgAGAFkBAAChBQAAAAA=&#10;">
              <v:fill on="f" focussize="0,0"/>
              <v:stroke on="f" weight="0.5pt"/>
              <v:imagedata o:title=""/>
              <o:lock v:ext="edit" aspectratio="f"/>
              <v:textbox inset="0mm,0mm,0mm,0mm" style="mso-fit-shape-to-text:t;">
                <w:txbxContent>
                  <w:p>
                    <w:pPr>
                      <w:snapToGrid w:val="0"/>
                      <w:rPr>
                        <w:sz w:val="28"/>
                        <w:szCs w:val="2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- 6 -</w:t>
                    </w:r>
                    <w:r>
                      <w:rPr>
                        <w:rFonts w:hint="eastAsia"/>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1BF256"/>
    <w:multiLevelType w:val="singleLevel"/>
    <w:tmpl w:val="581BF256"/>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9B3248"/>
    <w:rsid w:val="001D0B49"/>
    <w:rsid w:val="00692317"/>
    <w:rsid w:val="00804856"/>
    <w:rsid w:val="00C0044F"/>
    <w:rsid w:val="00CD08C6"/>
    <w:rsid w:val="00D360EF"/>
    <w:rsid w:val="00E73C5D"/>
    <w:rsid w:val="062C7E79"/>
    <w:rsid w:val="0A315D17"/>
    <w:rsid w:val="0BB00D4B"/>
    <w:rsid w:val="0D677A07"/>
    <w:rsid w:val="11BA1328"/>
    <w:rsid w:val="135F2FC2"/>
    <w:rsid w:val="15153156"/>
    <w:rsid w:val="171C52BF"/>
    <w:rsid w:val="19DE6F9D"/>
    <w:rsid w:val="2003184E"/>
    <w:rsid w:val="277F2FDF"/>
    <w:rsid w:val="31243A28"/>
    <w:rsid w:val="317B2DC2"/>
    <w:rsid w:val="38761829"/>
    <w:rsid w:val="3A8678AB"/>
    <w:rsid w:val="3C9B3248"/>
    <w:rsid w:val="3EC5713D"/>
    <w:rsid w:val="42562922"/>
    <w:rsid w:val="425724CD"/>
    <w:rsid w:val="49833AA5"/>
    <w:rsid w:val="4CCD2812"/>
    <w:rsid w:val="4CE26029"/>
    <w:rsid w:val="4D062657"/>
    <w:rsid w:val="529C3ADD"/>
    <w:rsid w:val="52CB5447"/>
    <w:rsid w:val="56A67A7E"/>
    <w:rsid w:val="58543454"/>
    <w:rsid w:val="58A06551"/>
    <w:rsid w:val="5A1B145E"/>
    <w:rsid w:val="5DA97955"/>
    <w:rsid w:val="65FA3AF8"/>
    <w:rsid w:val="66BA5F0D"/>
    <w:rsid w:val="69053E27"/>
    <w:rsid w:val="6D776C07"/>
    <w:rsid w:val="74DC5A9B"/>
    <w:rsid w:val="79BA1D46"/>
    <w:rsid w:val="7EF10EBC"/>
    <w:rsid w:val="7F7527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uiPriority w:val="1"/>
  </w:style>
  <w:style w:type="table" w:default="1" w:styleId="12">
    <w:name w:val="Normal Table"/>
    <w:unhideWhenUsed/>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5">
    <w:name w:val="Normal (Web)"/>
    <w:basedOn w:val="1"/>
    <w:qFormat/>
    <w:uiPriority w:val="0"/>
    <w:pPr>
      <w:jc w:val="left"/>
    </w:pPr>
    <w:rPr>
      <w:kern w:val="0"/>
      <w:sz w:val="24"/>
    </w:rPr>
  </w:style>
  <w:style w:type="character" w:styleId="7">
    <w:name w:val="page number"/>
    <w:basedOn w:val="6"/>
    <w:qFormat/>
    <w:uiPriority w:val="0"/>
  </w:style>
  <w:style w:type="character" w:styleId="8">
    <w:name w:val="FollowedHyperlink"/>
    <w:basedOn w:val="6"/>
    <w:qFormat/>
    <w:uiPriority w:val="0"/>
    <w:rPr>
      <w:color w:val="333333"/>
      <w:u w:val="none"/>
    </w:rPr>
  </w:style>
  <w:style w:type="character" w:styleId="9">
    <w:name w:val="Emphasis"/>
    <w:basedOn w:val="6"/>
    <w:qFormat/>
    <w:uiPriority w:val="0"/>
  </w:style>
  <w:style w:type="character" w:styleId="10">
    <w:name w:val="Hyperlink"/>
    <w:basedOn w:val="6"/>
    <w:qFormat/>
    <w:uiPriority w:val="0"/>
    <w:rPr>
      <w:color w:val="333333"/>
      <w:u w:val="none"/>
    </w:rPr>
  </w:style>
  <w:style w:type="character" w:styleId="11">
    <w:name w:val="HTML Cite"/>
    <w:basedOn w:val="6"/>
    <w:qFormat/>
    <w:uiPriority w:val="0"/>
  </w:style>
  <w:style w:type="character" w:customStyle="1" w:styleId="13">
    <w:name w:val="ca-22"/>
    <w:basedOn w:val="6"/>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8</Pages>
  <Words>685</Words>
  <Characters>3910</Characters>
  <Lines>32</Lines>
  <Paragraphs>9</Paragraphs>
  <TotalTime>1</TotalTime>
  <ScaleCrop>false</ScaleCrop>
  <LinksUpToDate>false</LinksUpToDate>
  <CharactersWithSpaces>4586</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2016-11-03T01:44:00Z</dcterms:created>
  <dc:creator>Administrator</dc:creator>
  <cp:lastModifiedBy>望穿秋水</cp:lastModifiedBy>
  <cp:lastPrinted>2017-09-19T06:13:00Z</cp:lastPrinted>
  <dcterms:modified xsi:type="dcterms:W3CDTF">2018-09-28T09:05:38Z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